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Introduction</w:t>
      </w:r>
    </w:p>
    <w:p>
      <w:pPr>
        <w:pStyle w:val="BodyText"/>
        <w:ind w:left="23" w:right="1"/>
        <w:jc w:val="center"/>
      </w:pPr>
      <w:r>
        <w:rPr/>
        <w:t>(current</w:t>
      </w:r>
      <w:r>
        <w:rPr>
          <w:spacing w:val="-3"/>
        </w:rPr>
        <w:t> </w:t>
      </w:r>
      <w:r>
        <w:rPr/>
        <w:t>through</w:t>
      </w:r>
      <w:r>
        <w:rPr>
          <w:spacing w:val="-2"/>
        </w:rPr>
        <w:t> </w:t>
      </w:r>
      <w:r>
        <w:rPr/>
        <w:t>January</w:t>
      </w:r>
      <w:r>
        <w:rPr>
          <w:spacing w:val="-2"/>
        </w:rPr>
        <w:t> </w:t>
      </w:r>
      <w:r>
        <w:rPr/>
        <w:t>1,</w:t>
      </w:r>
      <w:r>
        <w:rPr>
          <w:spacing w:val="-1"/>
        </w:rPr>
        <w:t> </w:t>
      </w:r>
      <w:r>
        <w:rPr>
          <w:spacing w:val="-2"/>
        </w:rPr>
        <w:t>2024)</w:t>
      </w:r>
    </w:p>
    <w:p>
      <w:pPr>
        <w:pStyle w:val="BodyText"/>
        <w:ind w:left="0"/>
      </w:pPr>
    </w:p>
    <w:p>
      <w:pPr>
        <w:pStyle w:val="BodyText"/>
        <w:ind w:right="371" w:firstLine="720"/>
        <w:jc w:val="both"/>
      </w:pPr>
      <w:r>
        <w:rPr/>
        <w:t>The</w:t>
      </w:r>
      <w:r>
        <w:rPr>
          <w:spacing w:val="-5"/>
        </w:rPr>
        <w:t> </w:t>
      </w:r>
      <w:r>
        <w:rPr/>
        <w:t>Sixth</w:t>
      </w:r>
      <w:r>
        <w:rPr>
          <w:spacing w:val="-4"/>
        </w:rPr>
        <w:t> </w:t>
      </w:r>
      <w:r>
        <w:rPr/>
        <w:t>Circuit</w:t>
      </w:r>
      <w:r>
        <w:rPr>
          <w:spacing w:val="-5"/>
        </w:rPr>
        <w:t> </w:t>
      </w:r>
      <w:r>
        <w:rPr/>
        <w:t>Pattern</w:t>
      </w:r>
      <w:r>
        <w:rPr>
          <w:spacing w:val="-4"/>
        </w:rPr>
        <w:t> </w:t>
      </w:r>
      <w:r>
        <w:rPr/>
        <w:t>Criminal</w:t>
      </w:r>
      <w:r>
        <w:rPr>
          <w:spacing w:val="-5"/>
        </w:rPr>
        <w:t> </w:t>
      </w:r>
      <w:r>
        <w:rPr/>
        <w:t>Jury</w:t>
      </w:r>
      <w:r>
        <w:rPr>
          <w:spacing w:val="-4"/>
        </w:rPr>
        <w:t> </w:t>
      </w:r>
      <w:r>
        <w:rPr/>
        <w:t>Instruction</w:t>
      </w:r>
      <w:r>
        <w:rPr>
          <w:spacing w:val="-4"/>
        </w:rPr>
        <w:t> </w:t>
      </w:r>
      <w:r>
        <w:rPr/>
        <w:t>Committee</w:t>
      </w:r>
      <w:r>
        <w:rPr>
          <w:spacing w:val="-5"/>
        </w:rPr>
        <w:t> </w:t>
      </w:r>
      <w:r>
        <w:rPr/>
        <w:t>includes</w:t>
      </w:r>
      <w:r>
        <w:rPr>
          <w:spacing w:val="-5"/>
        </w:rPr>
        <w:t> </w:t>
      </w:r>
      <w:r>
        <w:rPr/>
        <w:t>district</w:t>
      </w:r>
      <w:r>
        <w:rPr>
          <w:spacing w:val="-5"/>
        </w:rPr>
        <w:t> </w:t>
      </w:r>
      <w:r>
        <w:rPr/>
        <w:t>judges, prosecutors,</w:t>
      </w:r>
      <w:r>
        <w:rPr>
          <w:spacing w:val="-3"/>
        </w:rPr>
        <w:t> </w:t>
      </w:r>
      <w:r>
        <w:rPr/>
        <w:t>defense</w:t>
      </w:r>
      <w:r>
        <w:rPr>
          <w:spacing w:val="-4"/>
        </w:rPr>
        <w:t> </w:t>
      </w:r>
      <w:r>
        <w:rPr/>
        <w:t>attorneys</w:t>
      </w:r>
      <w:r>
        <w:rPr>
          <w:spacing w:val="-4"/>
        </w:rPr>
        <w:t> </w:t>
      </w:r>
      <w:r>
        <w:rPr/>
        <w:t>and</w:t>
      </w:r>
      <w:r>
        <w:rPr>
          <w:spacing w:val="-3"/>
        </w:rPr>
        <w:t> </w:t>
      </w:r>
      <w:r>
        <w:rPr/>
        <w:t>academics</w:t>
      </w:r>
      <w:r>
        <w:rPr>
          <w:spacing w:val="-4"/>
        </w:rPr>
        <w:t> </w:t>
      </w:r>
      <w:r>
        <w:rPr/>
        <w:t>from</w:t>
      </w:r>
      <w:r>
        <w:rPr>
          <w:spacing w:val="-4"/>
        </w:rPr>
        <w:t> </w:t>
      </w:r>
      <w:r>
        <w:rPr/>
        <w:t>around</w:t>
      </w:r>
      <w:r>
        <w:rPr>
          <w:spacing w:val="-3"/>
        </w:rPr>
        <w:t> </w:t>
      </w:r>
      <w:r>
        <w:rPr/>
        <w:t>the</w:t>
      </w:r>
      <w:r>
        <w:rPr>
          <w:spacing w:val="-4"/>
        </w:rPr>
        <w:t> </w:t>
      </w:r>
      <w:r>
        <w:rPr/>
        <w:t>circuit.</w:t>
      </w:r>
      <w:r>
        <w:rPr>
          <w:spacing w:val="40"/>
        </w:rPr>
        <w:t> </w:t>
      </w:r>
      <w:r>
        <w:rPr/>
        <w:t>The</w:t>
      </w:r>
      <w:r>
        <w:rPr>
          <w:spacing w:val="-4"/>
        </w:rPr>
        <w:t> </w:t>
      </w:r>
      <w:r>
        <w:rPr/>
        <w:t>members</w:t>
      </w:r>
      <w:r>
        <w:rPr>
          <w:spacing w:val="-4"/>
        </w:rPr>
        <w:t> </w:t>
      </w:r>
      <w:r>
        <w:rPr/>
        <w:t>are</w:t>
      </w:r>
      <w:r>
        <w:rPr>
          <w:spacing w:val="-4"/>
        </w:rPr>
        <w:t> </w:t>
      </w:r>
      <w:r>
        <w:rPr/>
        <w:t>listed </w:t>
      </w:r>
      <w:r>
        <w:rPr>
          <w:spacing w:val="-2"/>
        </w:rPr>
        <w:t>above.</w:t>
      </w:r>
    </w:p>
    <w:p>
      <w:pPr>
        <w:pStyle w:val="BodyText"/>
        <w:ind w:left="0"/>
      </w:pPr>
    </w:p>
    <w:p>
      <w:pPr>
        <w:pStyle w:val="BodyText"/>
        <w:ind w:right="206" w:firstLine="720"/>
      </w:pPr>
      <w:r>
        <w:rPr/>
        <w:t>The instructions are designed for use at the end of trial.</w:t>
      </w:r>
      <w:r>
        <w:rPr>
          <w:spacing w:val="40"/>
        </w:rPr>
        <w:t> </w:t>
      </w:r>
      <w:r>
        <w:rPr/>
        <w:t>However, this should not be interpreted</w:t>
      </w:r>
      <w:r>
        <w:rPr>
          <w:spacing w:val="-4"/>
        </w:rPr>
        <w:t> </w:t>
      </w:r>
      <w:r>
        <w:rPr/>
        <w:t>as</w:t>
      </w:r>
      <w:r>
        <w:rPr>
          <w:spacing w:val="-5"/>
        </w:rPr>
        <w:t> </w:t>
      </w:r>
      <w:r>
        <w:rPr/>
        <w:t>a</w:t>
      </w:r>
      <w:r>
        <w:rPr>
          <w:spacing w:val="-5"/>
        </w:rPr>
        <w:t> </w:t>
      </w:r>
      <w:r>
        <w:rPr/>
        <w:t>recommendation</w:t>
      </w:r>
      <w:r>
        <w:rPr>
          <w:spacing w:val="-4"/>
        </w:rPr>
        <w:t> </w:t>
      </w:r>
      <w:r>
        <w:rPr/>
        <w:t>against</w:t>
      </w:r>
      <w:r>
        <w:rPr>
          <w:spacing w:val="-5"/>
        </w:rPr>
        <w:t> </w:t>
      </w:r>
      <w:r>
        <w:rPr/>
        <w:t>using</w:t>
      </w:r>
      <w:r>
        <w:rPr>
          <w:spacing w:val="-4"/>
        </w:rPr>
        <w:t> </w:t>
      </w:r>
      <w:r>
        <w:rPr/>
        <w:t>preliminary</w:t>
      </w:r>
      <w:r>
        <w:rPr>
          <w:spacing w:val="-4"/>
        </w:rPr>
        <w:t> </w:t>
      </w:r>
      <w:r>
        <w:rPr/>
        <w:t>instructions</w:t>
      </w:r>
      <w:r>
        <w:rPr>
          <w:spacing w:val="-5"/>
        </w:rPr>
        <w:t> </w:t>
      </w:r>
      <w:r>
        <w:rPr/>
        <w:t>before</w:t>
      </w:r>
      <w:r>
        <w:rPr>
          <w:spacing w:val="-5"/>
        </w:rPr>
        <w:t> </w:t>
      </w:r>
      <w:r>
        <w:rPr/>
        <w:t>the</w:t>
      </w:r>
      <w:r>
        <w:rPr>
          <w:spacing w:val="-5"/>
        </w:rPr>
        <w:t> </w:t>
      </w:r>
      <w:r>
        <w:rPr/>
        <w:t>trial</w:t>
      </w:r>
      <w:r>
        <w:rPr>
          <w:spacing w:val="-5"/>
        </w:rPr>
        <w:t> </w:t>
      </w:r>
      <w:r>
        <w:rPr/>
        <w:t>begins. To the contrary, the Committee believes that preliminary instructions are helpful.</w:t>
      </w:r>
      <w:r>
        <w:rPr>
          <w:spacing w:val="40"/>
        </w:rPr>
        <w:t> </w:t>
      </w:r>
      <w:r>
        <w:rPr/>
        <w:t>With modifications, these instructions can be used as preliminary instructions.</w:t>
      </w:r>
    </w:p>
    <w:p>
      <w:pPr>
        <w:pStyle w:val="BodyText"/>
        <w:ind w:left="0"/>
      </w:pPr>
    </w:p>
    <w:p>
      <w:pPr>
        <w:pStyle w:val="BodyText"/>
        <w:ind w:left="821"/>
      </w:pPr>
      <w:r>
        <w:rPr/>
        <w:t>The</w:t>
      </w:r>
      <w:r>
        <w:rPr>
          <w:spacing w:val="-3"/>
        </w:rPr>
        <w:t> </w:t>
      </w:r>
      <w:r>
        <w:rPr/>
        <w:t>Committee</w:t>
      </w:r>
      <w:r>
        <w:rPr>
          <w:spacing w:val="-3"/>
        </w:rPr>
        <w:t> </w:t>
      </w:r>
      <w:r>
        <w:rPr/>
        <w:t>uses</w:t>
      </w:r>
      <w:r>
        <w:rPr>
          <w:spacing w:val="-3"/>
        </w:rPr>
        <w:t> </w:t>
      </w:r>
      <w:r>
        <w:rPr/>
        <w:t>simple</w:t>
      </w:r>
      <w:r>
        <w:rPr>
          <w:spacing w:val="-3"/>
        </w:rPr>
        <w:t> </w:t>
      </w:r>
      <w:r>
        <w:rPr/>
        <w:t>language,</w:t>
      </w:r>
      <w:r>
        <w:rPr>
          <w:spacing w:val="-2"/>
        </w:rPr>
        <w:t> </w:t>
      </w:r>
      <w:r>
        <w:rPr/>
        <w:t>or</w:t>
      </w:r>
      <w:r>
        <w:rPr>
          <w:spacing w:val="-2"/>
        </w:rPr>
        <w:t> </w:t>
      </w:r>
      <w:r>
        <w:rPr/>
        <w:t>plain</w:t>
      </w:r>
      <w:r>
        <w:rPr>
          <w:spacing w:val="-2"/>
        </w:rPr>
        <w:t> </w:t>
      </w:r>
      <w:r>
        <w:rPr/>
        <w:t>English,</w:t>
      </w:r>
      <w:r>
        <w:rPr>
          <w:spacing w:val="-2"/>
        </w:rPr>
        <w:t> </w:t>
      </w:r>
      <w:r>
        <w:rPr/>
        <w:t>whenever</w:t>
      </w:r>
      <w:r>
        <w:rPr>
          <w:spacing w:val="-2"/>
        </w:rPr>
        <w:t> possible.</w:t>
      </w:r>
    </w:p>
    <w:p>
      <w:pPr>
        <w:pStyle w:val="BodyText"/>
        <w:ind w:left="0"/>
      </w:pPr>
    </w:p>
    <w:p>
      <w:pPr>
        <w:pStyle w:val="BodyText"/>
        <w:ind w:right="206" w:firstLine="720"/>
      </w:pPr>
      <w:r>
        <w:rPr/>
        <w:t>In the text of the instructions, brackets indicate alternatives or language that is only appropriate</w:t>
      </w:r>
      <w:r>
        <w:rPr>
          <w:spacing w:val="-4"/>
        </w:rPr>
        <w:t> </w:t>
      </w:r>
      <w:r>
        <w:rPr/>
        <w:t>in</w:t>
      </w:r>
      <w:r>
        <w:rPr>
          <w:spacing w:val="-3"/>
        </w:rPr>
        <w:t> </w:t>
      </w:r>
      <w:r>
        <w:rPr/>
        <w:t>limited</w:t>
      </w:r>
      <w:r>
        <w:rPr>
          <w:spacing w:val="-3"/>
        </w:rPr>
        <w:t> </w:t>
      </w:r>
      <w:r>
        <w:rPr/>
        <w:t>circumstances.</w:t>
      </w:r>
      <w:r>
        <w:rPr>
          <w:spacing w:val="40"/>
        </w:rPr>
        <w:t> </w:t>
      </w:r>
      <w:r>
        <w:rPr/>
        <w:t>Brackets</w:t>
      </w:r>
      <w:r>
        <w:rPr>
          <w:spacing w:val="-4"/>
        </w:rPr>
        <w:t> </w:t>
      </w:r>
      <w:r>
        <w:rPr/>
        <w:t>with</w:t>
      </w:r>
      <w:r>
        <w:rPr>
          <w:spacing w:val="-3"/>
        </w:rPr>
        <w:t> </w:t>
      </w:r>
      <w:r>
        <w:rPr/>
        <w:t>italicized</w:t>
      </w:r>
      <w:r>
        <w:rPr>
          <w:spacing w:val="-3"/>
        </w:rPr>
        <w:t> </w:t>
      </w:r>
      <w:r>
        <w:rPr/>
        <w:t>type</w:t>
      </w:r>
      <w:r>
        <w:rPr>
          <w:spacing w:val="-4"/>
        </w:rPr>
        <w:t> </w:t>
      </w:r>
      <w:r>
        <w:rPr/>
        <w:t>are</w:t>
      </w:r>
      <w:r>
        <w:rPr>
          <w:spacing w:val="-4"/>
        </w:rPr>
        <w:t> </w:t>
      </w:r>
      <w:r>
        <w:rPr/>
        <w:t>notes</w:t>
      </w:r>
      <w:r>
        <w:rPr>
          <w:spacing w:val="-4"/>
        </w:rPr>
        <w:t> </w:t>
      </w:r>
      <w:r>
        <w:rPr/>
        <w:t>to</w:t>
      </w:r>
      <w:r>
        <w:rPr>
          <w:spacing w:val="-3"/>
        </w:rPr>
        <w:t> </w:t>
      </w:r>
      <w:r>
        <w:rPr/>
        <w:t>the</w:t>
      </w:r>
      <w:r>
        <w:rPr>
          <w:spacing w:val="-4"/>
        </w:rPr>
        <w:t> </w:t>
      </w:r>
      <w:r>
        <w:rPr/>
        <w:t>court.</w:t>
      </w:r>
      <w:r>
        <w:rPr>
          <w:spacing w:val="40"/>
        </w:rPr>
        <w:t> </w:t>
      </w:r>
      <w:r>
        <w:rPr/>
        <w:t>Use Notes following the instructions briefly explain when bracketed language should be used and other issues relating to the instructions.</w:t>
      </w:r>
    </w:p>
    <w:p>
      <w:pPr>
        <w:pStyle w:val="BodyText"/>
        <w:ind w:left="0"/>
      </w:pPr>
    </w:p>
    <w:p>
      <w:pPr>
        <w:pStyle w:val="BodyText"/>
        <w:ind w:right="206" w:firstLine="720"/>
      </w:pPr>
      <w:r>
        <w:rPr/>
        <w:t>A</w:t>
      </w:r>
      <w:r>
        <w:rPr>
          <w:spacing w:val="-15"/>
        </w:rPr>
        <w:t> </w:t>
      </w:r>
      <w:r>
        <w:rPr/>
        <w:t>committee</w:t>
      </w:r>
      <w:r>
        <w:rPr>
          <w:spacing w:val="-6"/>
        </w:rPr>
        <w:t> </w:t>
      </w:r>
      <w:r>
        <w:rPr/>
        <w:t>commentary</w:t>
      </w:r>
      <w:r>
        <w:rPr>
          <w:spacing w:val="-3"/>
        </w:rPr>
        <w:t> </w:t>
      </w:r>
      <w:r>
        <w:rPr/>
        <w:t>is</w:t>
      </w:r>
      <w:r>
        <w:rPr>
          <w:spacing w:val="-4"/>
        </w:rPr>
        <w:t> </w:t>
      </w:r>
      <w:r>
        <w:rPr/>
        <w:t>provided</w:t>
      </w:r>
      <w:r>
        <w:rPr>
          <w:spacing w:val="-3"/>
        </w:rPr>
        <w:t> </w:t>
      </w:r>
      <w:r>
        <w:rPr/>
        <w:t>with</w:t>
      </w:r>
      <w:r>
        <w:rPr>
          <w:spacing w:val="-4"/>
        </w:rPr>
        <w:t> </w:t>
      </w:r>
      <w:r>
        <w:rPr/>
        <w:t>each</w:t>
      </w:r>
      <w:r>
        <w:rPr>
          <w:spacing w:val="-3"/>
        </w:rPr>
        <w:t> </w:t>
      </w:r>
      <w:r>
        <w:rPr/>
        <w:t>instruction.</w:t>
      </w:r>
      <w:r>
        <w:rPr>
          <w:spacing w:val="40"/>
        </w:rPr>
        <w:t> </w:t>
      </w:r>
      <w:r>
        <w:rPr/>
        <w:t>The</w:t>
      </w:r>
      <w:r>
        <w:rPr>
          <w:spacing w:val="-4"/>
        </w:rPr>
        <w:t> </w:t>
      </w:r>
      <w:r>
        <w:rPr/>
        <w:t>commentaries</w:t>
      </w:r>
      <w:r>
        <w:rPr>
          <w:spacing w:val="-4"/>
        </w:rPr>
        <w:t> </w:t>
      </w:r>
      <w:r>
        <w:rPr/>
        <w:t>cite</w:t>
      </w:r>
      <w:r>
        <w:rPr>
          <w:spacing w:val="-4"/>
        </w:rPr>
        <w:t> </w:t>
      </w:r>
      <w:r>
        <w:rPr/>
        <w:t>the authority for the instruction and explain the Committee’s rationale.</w:t>
      </w:r>
    </w:p>
    <w:p>
      <w:pPr>
        <w:pStyle w:val="BodyText"/>
        <w:ind w:left="0"/>
      </w:pPr>
    </w:p>
    <w:p>
      <w:pPr>
        <w:pStyle w:val="BodyText"/>
        <w:ind w:firstLine="720"/>
      </w:pPr>
      <w:r>
        <w:rPr/>
        <w:t>In the commentaries, the Committee occasionally cites unpublished cases.</w:t>
      </w:r>
      <w:r>
        <w:rPr>
          <w:spacing w:val="40"/>
        </w:rPr>
        <w:t> </w:t>
      </w:r>
      <w:r>
        <w:rPr/>
        <w:t>These are widely available now in the electronic databases, Lexis and</w:t>
      </w:r>
      <w:r>
        <w:rPr>
          <w:spacing w:val="-1"/>
        </w:rPr>
        <w:t> </w:t>
      </w:r>
      <w:r>
        <w:rPr/>
        <w:t>Westlaw, and in</w:t>
      </w:r>
      <w:r>
        <w:rPr>
          <w:spacing w:val="-1"/>
        </w:rPr>
        <w:t> </w:t>
      </w:r>
      <w:r>
        <w:rPr/>
        <w:t>West’s publication, the Federal</w:t>
      </w:r>
      <w:r>
        <w:rPr>
          <w:spacing w:val="-6"/>
        </w:rPr>
        <w:t> </w:t>
      </w:r>
      <w:r>
        <w:rPr/>
        <w:t>Appendix.</w:t>
      </w:r>
      <w:r>
        <w:rPr>
          <w:spacing w:val="40"/>
        </w:rPr>
        <w:t> </w:t>
      </w:r>
      <w:r>
        <w:rPr/>
        <w:t>The Committee uses unpublished cases only when there is no published case on point or where the unpublished case is helpful.</w:t>
      </w:r>
      <w:r>
        <w:rPr>
          <w:spacing w:val="40"/>
        </w:rPr>
        <w:t> </w:t>
      </w:r>
      <w:r>
        <w:rPr/>
        <w:t>Sixth Circuit Rule 28(g) governs the citation</w:t>
      </w:r>
      <w:r>
        <w:rPr>
          <w:spacing w:val="-1"/>
        </w:rPr>
        <w:t> </w:t>
      </w:r>
      <w:r>
        <w:rPr/>
        <w:t>of</w:t>
      </w:r>
      <w:r>
        <w:rPr>
          <w:spacing w:val="-1"/>
        </w:rPr>
        <w:t> </w:t>
      </w:r>
      <w:r>
        <w:rPr/>
        <w:t>unpublished</w:t>
      </w:r>
      <w:r>
        <w:rPr>
          <w:spacing w:val="-1"/>
        </w:rPr>
        <w:t> </w:t>
      </w:r>
      <w:r>
        <w:rPr/>
        <w:t>decisions</w:t>
      </w:r>
      <w:r>
        <w:rPr>
          <w:spacing w:val="-2"/>
        </w:rPr>
        <w:t> </w:t>
      </w:r>
      <w:r>
        <w:rPr/>
        <w:t>by</w:t>
      </w:r>
      <w:r>
        <w:rPr>
          <w:spacing w:val="-1"/>
        </w:rPr>
        <w:t> </w:t>
      </w:r>
      <w:r>
        <w:rPr/>
        <w:t>counsel</w:t>
      </w:r>
      <w:r>
        <w:rPr>
          <w:spacing w:val="-2"/>
        </w:rPr>
        <w:t> </w:t>
      </w:r>
      <w:r>
        <w:rPr/>
        <w:t>in</w:t>
      </w:r>
      <w:r>
        <w:rPr>
          <w:spacing w:val="-1"/>
        </w:rPr>
        <w:t> </w:t>
      </w:r>
      <w:r>
        <w:rPr/>
        <w:t>briefs</w:t>
      </w:r>
      <w:r>
        <w:rPr>
          <w:spacing w:val="-2"/>
        </w:rPr>
        <w:t> </w:t>
      </w:r>
      <w:r>
        <w:rPr/>
        <w:t>and</w:t>
      </w:r>
      <w:r>
        <w:rPr>
          <w:spacing w:val="-1"/>
        </w:rPr>
        <w:t> </w:t>
      </w:r>
      <w:r>
        <w:rPr/>
        <w:t>oral</w:t>
      </w:r>
      <w:r>
        <w:rPr>
          <w:spacing w:val="-2"/>
        </w:rPr>
        <w:t> </w:t>
      </w:r>
      <w:r>
        <w:rPr/>
        <w:t>arguments</w:t>
      </w:r>
      <w:r>
        <w:rPr>
          <w:spacing w:val="-2"/>
        </w:rPr>
        <w:t> </w:t>
      </w:r>
      <w:r>
        <w:rPr/>
        <w:t>in</w:t>
      </w:r>
      <w:r>
        <w:rPr>
          <w:spacing w:val="-1"/>
        </w:rPr>
        <w:t> </w:t>
      </w:r>
      <w:r>
        <w:rPr/>
        <w:t>the</w:t>
      </w:r>
      <w:r>
        <w:rPr>
          <w:spacing w:val="-2"/>
        </w:rPr>
        <w:t> </w:t>
      </w:r>
      <w:r>
        <w:rPr/>
        <w:t>Sixth</w:t>
      </w:r>
      <w:r>
        <w:rPr>
          <w:spacing w:val="-1"/>
        </w:rPr>
        <w:t> </w:t>
      </w:r>
      <w:r>
        <w:rPr/>
        <w:t>Circuit</w:t>
      </w:r>
      <w:r>
        <w:rPr>
          <w:spacing w:val="-2"/>
        </w:rPr>
        <w:t> </w:t>
      </w:r>
      <w:r>
        <w:rPr/>
        <w:t>and in the district courts.</w:t>
      </w:r>
      <w:r>
        <w:rPr>
          <w:spacing w:val="40"/>
        </w:rPr>
        <w:t> </w:t>
      </w:r>
      <w:r>
        <w:rPr/>
        <w:t>See also Fed.R.App.P. 32.1.</w:t>
      </w:r>
      <w:r>
        <w:rPr>
          <w:spacing w:val="40"/>
        </w:rPr>
        <w:t> </w:t>
      </w:r>
      <w:r>
        <w:rPr/>
        <w:t>Unpublished decisions are not precedentially binding</w:t>
      </w:r>
      <w:r>
        <w:rPr>
          <w:spacing w:val="-1"/>
        </w:rPr>
        <w:t> </w:t>
      </w:r>
      <w:r>
        <w:rPr/>
        <w:t>under</w:t>
      </w:r>
      <w:r>
        <w:rPr>
          <w:spacing w:val="-1"/>
        </w:rPr>
        <w:t> </w:t>
      </w:r>
      <w:r>
        <w:rPr/>
        <w:t>the</w:t>
      </w:r>
      <w:r>
        <w:rPr>
          <w:spacing w:val="-2"/>
        </w:rPr>
        <w:t> </w:t>
      </w:r>
      <w:r>
        <w:rPr/>
        <w:t>doctrine</w:t>
      </w:r>
      <w:r>
        <w:rPr>
          <w:spacing w:val="-2"/>
        </w:rPr>
        <w:t> </w:t>
      </w:r>
      <w:r>
        <w:rPr/>
        <w:t>of</w:t>
      </w:r>
      <w:r>
        <w:rPr>
          <w:spacing w:val="-1"/>
        </w:rPr>
        <w:t> </w:t>
      </w:r>
      <w:r>
        <w:rPr/>
        <w:t>stare</w:t>
      </w:r>
      <w:r>
        <w:rPr>
          <w:spacing w:val="-2"/>
        </w:rPr>
        <w:t> </w:t>
      </w:r>
      <w:r>
        <w:rPr/>
        <w:t>decisis,</w:t>
      </w:r>
      <w:r>
        <w:rPr>
          <w:spacing w:val="-1"/>
        </w:rPr>
        <w:t> </w:t>
      </w:r>
      <w:r>
        <w:rPr/>
        <w:t>but</w:t>
      </w:r>
      <w:r>
        <w:rPr>
          <w:spacing w:val="-2"/>
        </w:rPr>
        <w:t> </w:t>
      </w:r>
      <w:r>
        <w:rPr/>
        <w:t>they</w:t>
      </w:r>
      <w:r>
        <w:rPr>
          <w:spacing w:val="-1"/>
        </w:rPr>
        <w:t> </w:t>
      </w:r>
      <w:r>
        <w:rPr/>
        <w:t>may</w:t>
      </w:r>
      <w:r>
        <w:rPr>
          <w:spacing w:val="-1"/>
        </w:rPr>
        <w:t> </w:t>
      </w:r>
      <w:r>
        <w:rPr/>
        <w:t>be</w:t>
      </w:r>
      <w:r>
        <w:rPr>
          <w:spacing w:val="-2"/>
        </w:rPr>
        <w:t> </w:t>
      </w:r>
      <w:r>
        <w:rPr/>
        <w:t>of</w:t>
      </w:r>
      <w:r>
        <w:rPr>
          <w:spacing w:val="-1"/>
        </w:rPr>
        <w:t> </w:t>
      </w:r>
      <w:r>
        <w:rPr/>
        <w:t>persuasive</w:t>
      </w:r>
      <w:r>
        <w:rPr>
          <w:spacing w:val="-2"/>
        </w:rPr>
        <w:t> </w:t>
      </w:r>
      <w:r>
        <w:rPr/>
        <w:t>value.</w:t>
      </w:r>
      <w:r>
        <w:rPr>
          <w:spacing w:val="40"/>
        </w:rPr>
        <w:t> </w:t>
      </w:r>
      <w:r>
        <w:rPr/>
        <w:t>United</w:t>
      </w:r>
      <w:r>
        <w:rPr>
          <w:spacing w:val="-1"/>
        </w:rPr>
        <w:t> </w:t>
      </w:r>
      <w:r>
        <w:rPr/>
        <w:t>States</w:t>
      </w:r>
      <w:r>
        <w:rPr>
          <w:spacing w:val="-2"/>
        </w:rPr>
        <w:t> </w:t>
      </w:r>
      <w:r>
        <w:rPr/>
        <w:t>v. Villareal,</w:t>
      </w:r>
      <w:r>
        <w:rPr>
          <w:spacing w:val="-8"/>
        </w:rPr>
        <w:t> </w:t>
      </w:r>
      <w:r>
        <w:rPr/>
        <w:t>491</w:t>
      </w:r>
      <w:r>
        <w:rPr>
          <w:spacing w:val="-8"/>
        </w:rPr>
        <w:t> </w:t>
      </w:r>
      <w:r>
        <w:rPr/>
        <w:t>F.3d</w:t>
      </w:r>
      <w:r>
        <w:rPr>
          <w:spacing w:val="-8"/>
        </w:rPr>
        <w:t> </w:t>
      </w:r>
      <w:r>
        <w:rPr/>
        <w:t>605,</w:t>
      </w:r>
      <w:r>
        <w:rPr>
          <w:spacing w:val="-8"/>
        </w:rPr>
        <w:t> </w:t>
      </w:r>
      <w:r>
        <w:rPr/>
        <w:t>610</w:t>
      </w:r>
      <w:r>
        <w:rPr>
          <w:spacing w:val="-8"/>
        </w:rPr>
        <w:t> </w:t>
      </w:r>
      <w:r>
        <w:rPr/>
        <w:t>(6th</w:t>
      </w:r>
      <w:r>
        <w:rPr>
          <w:spacing w:val="-8"/>
        </w:rPr>
        <w:t> </w:t>
      </w:r>
      <w:r>
        <w:rPr/>
        <w:t>Cir.</w:t>
      </w:r>
      <w:r>
        <w:rPr>
          <w:spacing w:val="-9"/>
        </w:rPr>
        <w:t> </w:t>
      </w:r>
      <w:r>
        <w:rPr/>
        <w:t>2007);</w:t>
      </w:r>
      <w:r>
        <w:rPr>
          <w:spacing w:val="-9"/>
        </w:rPr>
        <w:t> </w:t>
      </w:r>
      <w:r>
        <w:rPr/>
        <w:t>United</w:t>
      </w:r>
      <w:r>
        <w:rPr>
          <w:spacing w:val="-8"/>
        </w:rPr>
        <w:t> </w:t>
      </w:r>
      <w:r>
        <w:rPr/>
        <w:t>States</w:t>
      </w:r>
      <w:r>
        <w:rPr>
          <w:spacing w:val="-9"/>
        </w:rPr>
        <w:t> </w:t>
      </w:r>
      <w:r>
        <w:rPr/>
        <w:t>v.</w:t>
      </w:r>
      <w:r>
        <w:rPr>
          <w:spacing w:val="-8"/>
        </w:rPr>
        <w:t> </w:t>
      </w:r>
      <w:r>
        <w:rPr/>
        <w:t>Sanford,</w:t>
      </w:r>
      <w:r>
        <w:rPr>
          <w:spacing w:val="-8"/>
        </w:rPr>
        <w:t> </w:t>
      </w:r>
      <w:r>
        <w:rPr/>
        <w:t>476</w:t>
      </w:r>
      <w:r>
        <w:rPr>
          <w:spacing w:val="-8"/>
        </w:rPr>
        <w:t> </w:t>
      </w:r>
      <w:r>
        <w:rPr/>
        <w:t>F.3d</w:t>
      </w:r>
      <w:r>
        <w:rPr>
          <w:spacing w:val="-8"/>
        </w:rPr>
        <w:t> </w:t>
      </w:r>
      <w:r>
        <w:rPr/>
        <w:t>391,</w:t>
      </w:r>
      <w:r>
        <w:rPr>
          <w:spacing w:val="-8"/>
        </w:rPr>
        <w:t> </w:t>
      </w:r>
      <w:r>
        <w:rPr/>
        <w:t>396</w:t>
      </w:r>
      <w:r>
        <w:rPr>
          <w:spacing w:val="-8"/>
        </w:rPr>
        <w:t> </w:t>
      </w:r>
      <w:r>
        <w:rPr/>
        <w:t>(6th</w:t>
      </w:r>
      <w:r>
        <w:rPr>
          <w:spacing w:val="-8"/>
        </w:rPr>
        <w:t> </w:t>
      </w:r>
      <w:r>
        <w:rPr/>
        <w:t>Cir.</w:t>
      </w:r>
    </w:p>
    <w:p>
      <w:pPr>
        <w:pStyle w:val="BodyText"/>
      </w:pPr>
      <w:r>
        <w:rPr>
          <w:spacing w:val="-2"/>
        </w:rPr>
        <w:t>2007).</w:t>
      </w:r>
    </w:p>
    <w:p>
      <w:pPr>
        <w:pStyle w:val="BodyText"/>
        <w:ind w:left="0"/>
      </w:pPr>
    </w:p>
    <w:p>
      <w:pPr>
        <w:pStyle w:val="BodyText"/>
        <w:ind w:right="206" w:firstLine="720"/>
      </w:pPr>
      <w:r>
        <w:rPr/>
        <w:t>The</w:t>
      </w:r>
      <w:r>
        <w:rPr>
          <w:spacing w:val="-5"/>
        </w:rPr>
        <w:t> </w:t>
      </w:r>
      <w:r>
        <w:rPr/>
        <w:t>instructions</w:t>
      </w:r>
      <w:r>
        <w:rPr>
          <w:spacing w:val="-5"/>
        </w:rPr>
        <w:t> </w:t>
      </w:r>
      <w:r>
        <w:rPr/>
        <w:t>include</w:t>
      </w:r>
      <w:r>
        <w:rPr>
          <w:spacing w:val="-5"/>
        </w:rPr>
        <w:t> </w:t>
      </w:r>
      <w:r>
        <w:rPr/>
        <w:t>an</w:t>
      </w:r>
      <w:r>
        <w:rPr>
          <w:spacing w:val="-4"/>
        </w:rPr>
        <w:t> </w:t>
      </w:r>
      <w:r>
        <w:rPr/>
        <w:t>appendix,</w:t>
      </w:r>
      <w:r>
        <w:rPr>
          <w:spacing w:val="-4"/>
        </w:rPr>
        <w:t> </w:t>
      </w:r>
      <w:r>
        <w:rPr/>
        <w:t>which</w:t>
      </w:r>
      <w:r>
        <w:rPr>
          <w:spacing w:val="-4"/>
        </w:rPr>
        <w:t> </w:t>
      </w:r>
      <w:r>
        <w:rPr/>
        <w:t>provides</w:t>
      </w:r>
      <w:r>
        <w:rPr>
          <w:spacing w:val="-5"/>
        </w:rPr>
        <w:t> </w:t>
      </w:r>
      <w:r>
        <w:rPr/>
        <w:t>some</w:t>
      </w:r>
      <w:r>
        <w:rPr>
          <w:spacing w:val="-5"/>
        </w:rPr>
        <w:t> </w:t>
      </w:r>
      <w:r>
        <w:rPr/>
        <w:t>charts</w:t>
      </w:r>
      <w:r>
        <w:rPr>
          <w:spacing w:val="-5"/>
        </w:rPr>
        <w:t> </w:t>
      </w:r>
      <w:r>
        <w:rPr/>
        <w:t>diagraming</w:t>
      </w:r>
      <w:r>
        <w:rPr>
          <w:spacing w:val="-4"/>
        </w:rPr>
        <w:t> </w:t>
      </w:r>
      <w:r>
        <w:rPr/>
        <w:t>a</w:t>
      </w:r>
      <w:r>
        <w:rPr>
          <w:spacing w:val="-5"/>
        </w:rPr>
        <w:t> </w:t>
      </w:r>
      <w:r>
        <w:rPr/>
        <w:t>money laundering crime.</w:t>
      </w:r>
    </w:p>
    <w:p>
      <w:pPr>
        <w:pStyle w:val="BodyText"/>
        <w:spacing w:before="5"/>
        <w:ind w:left="0"/>
      </w:pPr>
    </w:p>
    <w:p>
      <w:pPr>
        <w:pStyle w:val="BodyText"/>
        <w:spacing w:line="235" w:lineRule="auto"/>
        <w:ind w:right="121" w:firstLine="720"/>
      </w:pPr>
      <w:r>
        <w:rPr/>
        <w:t>Approval</w:t>
      </w:r>
      <w:r>
        <w:rPr>
          <w:spacing w:val="-4"/>
        </w:rPr>
        <w:t> </w:t>
      </w:r>
      <w:r>
        <w:rPr/>
        <w:t>of</w:t>
      </w:r>
      <w:r>
        <w:rPr>
          <w:spacing w:val="-3"/>
        </w:rPr>
        <w:t> </w:t>
      </w:r>
      <w:r>
        <w:rPr/>
        <w:t>the</w:t>
      </w:r>
      <w:r>
        <w:rPr>
          <w:spacing w:val="-4"/>
        </w:rPr>
        <w:t> </w:t>
      </w:r>
      <w:r>
        <w:rPr/>
        <w:t>content</w:t>
      </w:r>
      <w:r>
        <w:rPr>
          <w:spacing w:val="-4"/>
        </w:rPr>
        <w:t> </w:t>
      </w:r>
      <w:r>
        <w:rPr/>
        <w:t>of</w:t>
      </w:r>
      <w:r>
        <w:rPr>
          <w:spacing w:val="-3"/>
        </w:rPr>
        <w:t> </w:t>
      </w:r>
      <w:r>
        <w:rPr/>
        <w:t>the</w:t>
      </w:r>
      <w:r>
        <w:rPr>
          <w:spacing w:val="-4"/>
        </w:rPr>
        <w:t> </w:t>
      </w:r>
      <w:r>
        <w:rPr/>
        <w:t>instructions</w:t>
      </w:r>
      <w:r>
        <w:rPr>
          <w:spacing w:val="-4"/>
        </w:rPr>
        <w:t> </w:t>
      </w:r>
      <w:r>
        <w:rPr/>
        <w:t>must</w:t>
      </w:r>
      <w:r>
        <w:rPr>
          <w:spacing w:val="-4"/>
        </w:rPr>
        <w:t> </w:t>
      </w:r>
      <w:r>
        <w:rPr/>
        <w:t>await</w:t>
      </w:r>
      <w:r>
        <w:rPr>
          <w:spacing w:val="-4"/>
        </w:rPr>
        <w:t> </w:t>
      </w:r>
      <w:r>
        <w:rPr/>
        <w:t>a</w:t>
      </w:r>
      <w:r>
        <w:rPr>
          <w:spacing w:val="-4"/>
        </w:rPr>
        <w:t> </w:t>
      </w:r>
      <w:r>
        <w:rPr/>
        <w:t>case-by-case</w:t>
      </w:r>
      <w:r>
        <w:rPr>
          <w:spacing w:val="-4"/>
        </w:rPr>
        <w:t> </w:t>
      </w:r>
      <w:r>
        <w:rPr/>
        <w:t>review</w:t>
      </w:r>
      <w:r>
        <w:rPr>
          <w:spacing w:val="-4"/>
        </w:rPr>
        <w:t> </w:t>
      </w:r>
      <w:r>
        <w:rPr/>
        <w:t>by</w:t>
      </w:r>
      <w:r>
        <w:rPr>
          <w:spacing w:val="-3"/>
        </w:rPr>
        <w:t> </w:t>
      </w:r>
      <w:r>
        <w:rPr/>
        <w:t>the</w:t>
      </w:r>
      <w:r>
        <w:rPr>
          <w:spacing w:val="-4"/>
        </w:rPr>
        <w:t> </w:t>
      </w:r>
      <w:r>
        <w:rPr/>
        <w:t>Court of</w:t>
      </w:r>
      <w:r>
        <w:rPr>
          <w:spacing w:val="-8"/>
        </w:rPr>
        <w:t> </w:t>
      </w:r>
      <w:r>
        <w:rPr/>
        <w:t>Appeals.</w:t>
      </w:r>
      <w:r>
        <w:rPr>
          <w:spacing w:val="40"/>
        </w:rPr>
        <w:t> </w:t>
      </w:r>
      <w:r>
        <w:rPr/>
        <w:t>Each case is different, and no set of pattern instructions can cover all the variables which may arise.</w:t>
      </w:r>
      <w:r>
        <w:rPr>
          <w:spacing w:val="40"/>
        </w:rPr>
        <w:t> </w:t>
      </w:r>
      <w:r>
        <w:rPr/>
        <w:t>These are suggested instructions only, and should be tailored to fit the facts of each individual case.</w:t>
      </w:r>
      <w:r>
        <w:rPr>
          <w:spacing w:val="40"/>
        </w:rPr>
        <w:t> </w:t>
      </w:r>
      <w:r>
        <w:rPr/>
        <w:t>As the Sixth Circuit has cautioned, although pattern instructions “have their place, they should not be used without careful consideration being given to their applicability to the facts and theories of the specific case being tried.”</w:t>
      </w:r>
      <w:r>
        <w:rPr>
          <w:spacing w:val="40"/>
        </w:rPr>
        <w:t> </w:t>
      </w:r>
      <w:r>
        <w:rPr/>
        <w:t>United States v. Wolak, 923 F.2d 1193, 1198 (6th Cir. 1991).</w:t>
      </w:r>
      <w:r>
        <w:rPr>
          <w:spacing w:val="40"/>
        </w:rPr>
        <w:t> </w:t>
      </w:r>
      <w:r>
        <w:rPr/>
        <w:t>More recently, the court stated that it </w:t>
      </w:r>
      <w:r>
        <w:rPr>
          <w:rFonts w:ascii="Kokonor" w:hAnsi="Kokonor" w:cs="Kokonor" w:eastAsia="Kokonor"/>
        </w:rPr>
        <w:t>ཞྭ</w:t>
      </w:r>
      <w:r>
        <w:rPr/>
        <w:t>regularly looks to</w:t>
      </w:r>
    </w:p>
    <w:p>
      <w:pPr>
        <w:pStyle w:val="BodyText"/>
        <w:spacing w:line="172" w:lineRule="exact"/>
      </w:pPr>
      <w:r>
        <w:rPr/>
        <w:t>whether</w:t>
      </w:r>
      <w:r>
        <w:rPr>
          <w:spacing w:val="-4"/>
        </w:rPr>
        <w:t> </w:t>
      </w:r>
      <w:r>
        <w:rPr/>
        <w:t>jury</w:t>
      </w:r>
      <w:r>
        <w:rPr>
          <w:spacing w:val="-2"/>
        </w:rPr>
        <w:t> </w:t>
      </w:r>
      <w:r>
        <w:rPr/>
        <w:t>instructions</w:t>
      </w:r>
      <w:r>
        <w:rPr>
          <w:spacing w:val="-3"/>
        </w:rPr>
        <w:t> </w:t>
      </w:r>
      <w:r>
        <w:rPr/>
        <w:t>mirror</w:t>
      </w:r>
      <w:r>
        <w:rPr>
          <w:spacing w:val="-2"/>
        </w:rPr>
        <w:t> </w:t>
      </w:r>
      <w:r>
        <w:rPr/>
        <w:t>or</w:t>
      </w:r>
      <w:r>
        <w:rPr>
          <w:spacing w:val="-2"/>
        </w:rPr>
        <w:t> </w:t>
      </w:r>
      <w:r>
        <w:rPr/>
        <w:t>track</w:t>
      </w:r>
      <w:r>
        <w:rPr>
          <w:spacing w:val="-2"/>
        </w:rPr>
        <w:t> </w:t>
      </w:r>
      <w:r>
        <w:rPr/>
        <w:t>the</w:t>
      </w:r>
      <w:r>
        <w:rPr>
          <w:spacing w:val="-3"/>
        </w:rPr>
        <w:t> </w:t>
      </w:r>
      <w:r>
        <w:rPr/>
        <w:t>pattern</w:t>
      </w:r>
      <w:r>
        <w:rPr>
          <w:spacing w:val="-2"/>
        </w:rPr>
        <w:t> </w:t>
      </w:r>
      <w:r>
        <w:rPr/>
        <w:t>jury</w:t>
      </w:r>
      <w:r>
        <w:rPr>
          <w:spacing w:val="-2"/>
        </w:rPr>
        <w:t> </w:t>
      </w:r>
      <w:r>
        <w:rPr/>
        <w:t>instructions</w:t>
      </w:r>
      <w:r>
        <w:rPr>
          <w:spacing w:val="-3"/>
        </w:rPr>
        <w:t> </w:t>
      </w:r>
      <w:r>
        <w:rPr/>
        <w:t>as</w:t>
      </w:r>
      <w:r>
        <w:rPr>
          <w:spacing w:val="-3"/>
        </w:rPr>
        <w:t> </w:t>
      </w:r>
      <w:r>
        <w:rPr/>
        <w:t>one</w:t>
      </w:r>
      <w:r>
        <w:rPr>
          <w:spacing w:val="-3"/>
        </w:rPr>
        <w:t> </w:t>
      </w:r>
      <w:r>
        <w:rPr/>
        <w:t>factor</w:t>
      </w:r>
      <w:r>
        <w:rPr>
          <w:spacing w:val="-2"/>
        </w:rPr>
        <w:t> </w:t>
      </w:r>
      <w:r>
        <w:rPr/>
        <w:t>in</w:t>
      </w:r>
      <w:r>
        <w:rPr>
          <w:spacing w:val="-1"/>
        </w:rPr>
        <w:t> </w:t>
      </w:r>
      <w:r>
        <w:rPr>
          <w:spacing w:val="-2"/>
        </w:rPr>
        <w:t>determining</w:t>
      </w:r>
    </w:p>
    <w:p>
      <w:pPr>
        <w:pStyle w:val="BodyText"/>
        <w:spacing w:line="177" w:lineRule="auto" w:before="51"/>
        <w:ind w:right="206"/>
      </w:pPr>
      <w:r>
        <w:rPr/>
        <w:t>whether any particular instruction is misleading or erroneous,</w:t>
      </w:r>
      <w:r>
        <w:rPr>
          <w:rFonts w:ascii="Kokonor" w:hAnsi="Kokonor" w:cs="Kokonor" w:eastAsia="Kokonor"/>
        </w:rPr>
        <w:t>ཛྭ</w:t>
      </w:r>
      <w:r>
        <w:rPr>
          <w:rFonts w:ascii="Kokonor" w:hAnsi="Kokonor" w:cs="Kokonor" w:eastAsia="Kokonor"/>
          <w:spacing w:val="-1"/>
        </w:rPr>
        <w:t> </w:t>
      </w:r>
      <w:r>
        <w:rPr/>
        <w:t>and that it “has noted the potential</w:t>
      </w:r>
      <w:r>
        <w:rPr>
          <w:spacing w:val="-4"/>
        </w:rPr>
        <w:t> </w:t>
      </w:r>
      <w:r>
        <w:rPr/>
        <w:t>problems</w:t>
      </w:r>
      <w:r>
        <w:rPr>
          <w:spacing w:val="-4"/>
        </w:rPr>
        <w:t> </w:t>
      </w:r>
      <w:r>
        <w:rPr/>
        <w:t>that</w:t>
      </w:r>
      <w:r>
        <w:rPr>
          <w:spacing w:val="-4"/>
        </w:rPr>
        <w:t> </w:t>
      </w:r>
      <w:r>
        <w:rPr/>
        <w:t>can</w:t>
      </w:r>
      <w:r>
        <w:rPr>
          <w:spacing w:val="-3"/>
        </w:rPr>
        <w:t> </w:t>
      </w:r>
      <w:r>
        <w:rPr/>
        <w:t>arise</w:t>
      </w:r>
      <w:r>
        <w:rPr>
          <w:spacing w:val="-4"/>
        </w:rPr>
        <w:t> </w:t>
      </w:r>
      <w:r>
        <w:rPr/>
        <w:t>when</w:t>
      </w:r>
      <w:r>
        <w:rPr>
          <w:spacing w:val="-3"/>
        </w:rPr>
        <w:t> </w:t>
      </w:r>
      <w:r>
        <w:rPr/>
        <w:t>trial</w:t>
      </w:r>
      <w:r>
        <w:rPr>
          <w:spacing w:val="-4"/>
        </w:rPr>
        <w:t> </w:t>
      </w:r>
      <w:r>
        <w:rPr/>
        <w:t>courts</w:t>
      </w:r>
      <w:r>
        <w:rPr>
          <w:spacing w:val="-4"/>
        </w:rPr>
        <w:t> </w:t>
      </w:r>
      <w:r>
        <w:rPr/>
        <w:t>stray</w:t>
      </w:r>
      <w:r>
        <w:rPr>
          <w:spacing w:val="-3"/>
        </w:rPr>
        <w:t> </w:t>
      </w:r>
      <w:r>
        <w:rPr/>
        <w:t>from</w:t>
      </w:r>
      <w:r>
        <w:rPr>
          <w:spacing w:val="-4"/>
        </w:rPr>
        <w:t> </w:t>
      </w:r>
      <w:r>
        <w:rPr/>
        <w:t>the</w:t>
      </w:r>
      <w:r>
        <w:rPr>
          <w:spacing w:val="-4"/>
        </w:rPr>
        <w:t> </w:t>
      </w:r>
      <w:r>
        <w:rPr/>
        <w:t>Pattern</w:t>
      </w:r>
      <w:r>
        <w:rPr>
          <w:spacing w:val="-3"/>
        </w:rPr>
        <w:t> </w:t>
      </w:r>
      <w:r>
        <w:rPr/>
        <w:t>Jury</w:t>
      </w:r>
      <w:r>
        <w:rPr>
          <w:spacing w:val="-3"/>
        </w:rPr>
        <w:t> </w:t>
      </w:r>
      <w:r>
        <w:rPr/>
        <w:t>Instructions.”</w:t>
      </w:r>
    </w:p>
    <w:p>
      <w:pPr>
        <w:pStyle w:val="BodyText"/>
        <w:spacing w:before="15"/>
      </w:pPr>
      <w:r>
        <w:rPr/>
        <w:t>United</w:t>
      </w:r>
      <w:r>
        <w:rPr>
          <w:spacing w:val="-6"/>
        </w:rPr>
        <w:t> </w:t>
      </w:r>
      <w:r>
        <w:rPr/>
        <w:t>States</w:t>
      </w:r>
      <w:r>
        <w:rPr>
          <w:spacing w:val="-5"/>
        </w:rPr>
        <w:t> </w:t>
      </w:r>
      <w:r>
        <w:rPr/>
        <w:t>v.</w:t>
      </w:r>
      <w:r>
        <w:rPr>
          <w:spacing w:val="-3"/>
        </w:rPr>
        <w:t> </w:t>
      </w:r>
      <w:r>
        <w:rPr/>
        <w:t>Frei,</w:t>
      </w:r>
      <w:r>
        <w:rPr>
          <w:spacing w:val="-4"/>
        </w:rPr>
        <w:t> </w:t>
      </w:r>
      <w:r>
        <w:rPr/>
        <w:t>995</w:t>
      </w:r>
      <w:r>
        <w:rPr>
          <w:spacing w:val="-3"/>
        </w:rPr>
        <w:t> </w:t>
      </w:r>
      <w:r>
        <w:rPr/>
        <w:t>F.3d</w:t>
      </w:r>
      <w:r>
        <w:rPr>
          <w:spacing w:val="-4"/>
        </w:rPr>
        <w:t> </w:t>
      </w:r>
      <w:r>
        <w:rPr/>
        <w:t>561,</w:t>
      </w:r>
      <w:r>
        <w:rPr>
          <w:spacing w:val="-3"/>
        </w:rPr>
        <w:t> </w:t>
      </w:r>
      <w:r>
        <w:rPr/>
        <w:t>565</w:t>
      </w:r>
      <w:r>
        <w:rPr>
          <w:spacing w:val="-4"/>
        </w:rPr>
        <w:t> </w:t>
      </w:r>
      <w:r>
        <w:rPr/>
        <w:t>(6th</w:t>
      </w:r>
      <w:r>
        <w:rPr>
          <w:spacing w:val="-3"/>
        </w:rPr>
        <w:t> </w:t>
      </w:r>
      <w:r>
        <w:rPr/>
        <w:t>Cir.</w:t>
      </w:r>
      <w:r>
        <w:rPr>
          <w:spacing w:val="-5"/>
        </w:rPr>
        <w:t> </w:t>
      </w:r>
      <w:r>
        <w:rPr/>
        <w:t>2021)</w:t>
      </w:r>
      <w:r>
        <w:rPr>
          <w:spacing w:val="-4"/>
        </w:rPr>
        <w:t> </w:t>
      </w:r>
      <w:r>
        <w:rPr/>
        <w:t>(cleaned</w:t>
      </w:r>
      <w:r>
        <w:rPr>
          <w:spacing w:val="-3"/>
        </w:rPr>
        <w:t> </w:t>
      </w:r>
      <w:r>
        <w:rPr/>
        <w:t>up).</w:t>
      </w:r>
      <w:r>
        <w:rPr>
          <w:spacing w:val="48"/>
        </w:rPr>
        <w:t> </w:t>
      </w:r>
      <w:r>
        <w:rPr/>
        <w:t>The</w:t>
      </w:r>
      <w:r>
        <w:rPr>
          <w:spacing w:val="-4"/>
        </w:rPr>
        <w:t> </w:t>
      </w:r>
      <w:r>
        <w:rPr/>
        <w:t>court</w:t>
      </w:r>
      <w:r>
        <w:rPr>
          <w:spacing w:val="-5"/>
        </w:rPr>
        <w:t> </w:t>
      </w:r>
      <w:r>
        <w:rPr/>
        <w:t>described</w:t>
      </w:r>
      <w:r>
        <w:rPr>
          <w:spacing w:val="-3"/>
        </w:rPr>
        <w:t> </w:t>
      </w:r>
      <w:r>
        <w:rPr>
          <w:spacing w:val="-5"/>
        </w:rPr>
        <w:t>the</w:t>
      </w:r>
    </w:p>
    <w:p>
      <w:pPr>
        <w:spacing w:after="0"/>
        <w:sectPr>
          <w:type w:val="continuous"/>
          <w:pgSz w:w="12240" w:h="15840"/>
          <w:pgMar w:top="1360" w:bottom="280" w:left="1340" w:right="1360"/>
        </w:sectPr>
      </w:pPr>
    </w:p>
    <w:p>
      <w:pPr>
        <w:pStyle w:val="BodyText"/>
        <w:spacing w:before="70"/>
      </w:pPr>
      <w:r>
        <w:rPr/>
        <w:t>pattern</w:t>
      </w:r>
      <w:r>
        <w:rPr>
          <w:spacing w:val="-6"/>
        </w:rPr>
        <w:t> </w:t>
      </w:r>
      <w:r>
        <w:rPr/>
        <w:t>instructions</w:t>
      </w:r>
      <w:r>
        <w:rPr>
          <w:spacing w:val="-5"/>
        </w:rPr>
        <w:t> </w:t>
      </w:r>
      <w:r>
        <w:rPr/>
        <w:t>as</w:t>
      </w:r>
      <w:r>
        <w:rPr>
          <w:spacing w:val="-4"/>
        </w:rPr>
        <w:t> </w:t>
      </w:r>
      <w:r>
        <w:rPr/>
        <w:t>“presumptively</w:t>
      </w:r>
      <w:r>
        <w:rPr>
          <w:spacing w:val="-4"/>
        </w:rPr>
        <w:t> </w:t>
      </w:r>
      <w:r>
        <w:rPr/>
        <w:t>straightforward.”</w:t>
      </w:r>
      <w:r>
        <w:rPr>
          <w:spacing w:val="56"/>
        </w:rPr>
        <w:t> </w:t>
      </w:r>
      <w:r>
        <w:rPr>
          <w:i/>
        </w:rPr>
        <w:t>Id.</w:t>
      </w:r>
      <w:r>
        <w:rPr>
          <w:i/>
          <w:spacing w:val="-4"/>
        </w:rPr>
        <w:t> </w:t>
      </w:r>
      <w:r>
        <w:rPr/>
        <w:t>at</w:t>
      </w:r>
      <w:r>
        <w:rPr>
          <w:spacing w:val="-4"/>
        </w:rPr>
        <w:t> 566.</w:t>
      </w:r>
    </w:p>
    <w:p>
      <w:pPr>
        <w:pStyle w:val="BodyText"/>
        <w:spacing w:before="276"/>
        <w:ind w:right="7" w:firstLine="720"/>
      </w:pPr>
      <w:r>
        <w:rPr/>
        <w:t>The instructions continue to use singular pronouns and verbs and to use masculine pronouns</w:t>
      </w:r>
      <w:r>
        <w:rPr>
          <w:spacing w:val="-5"/>
        </w:rPr>
        <w:t> </w:t>
      </w:r>
      <w:r>
        <w:rPr/>
        <w:t>only</w:t>
      </w:r>
      <w:r>
        <w:rPr>
          <w:spacing w:val="-5"/>
        </w:rPr>
        <w:t> </w:t>
      </w:r>
      <w:r>
        <w:rPr/>
        <w:t>where</w:t>
      </w:r>
      <w:r>
        <w:rPr>
          <w:spacing w:val="-5"/>
        </w:rPr>
        <w:t> </w:t>
      </w:r>
      <w:r>
        <w:rPr/>
        <w:t>the</w:t>
      </w:r>
      <w:r>
        <w:rPr>
          <w:spacing w:val="-5"/>
        </w:rPr>
        <w:t> </w:t>
      </w:r>
      <w:r>
        <w:rPr/>
        <w:t>use</w:t>
      </w:r>
      <w:r>
        <w:rPr>
          <w:spacing w:val="-5"/>
        </w:rPr>
        <w:t> </w:t>
      </w:r>
      <w:r>
        <w:rPr/>
        <w:t>of</w:t>
      </w:r>
      <w:r>
        <w:rPr>
          <w:spacing w:val="-5"/>
        </w:rPr>
        <w:t> </w:t>
      </w:r>
      <w:r>
        <w:rPr/>
        <w:t>gender-neutral</w:t>
      </w:r>
      <w:r>
        <w:rPr>
          <w:spacing w:val="-5"/>
        </w:rPr>
        <w:t> </w:t>
      </w:r>
      <w:r>
        <w:rPr/>
        <w:t>language</w:t>
      </w:r>
      <w:r>
        <w:rPr>
          <w:spacing w:val="-5"/>
        </w:rPr>
        <w:t> </w:t>
      </w:r>
      <w:r>
        <w:rPr/>
        <w:t>was</w:t>
      </w:r>
      <w:r>
        <w:rPr>
          <w:spacing w:val="-5"/>
        </w:rPr>
        <w:t> </w:t>
      </w:r>
      <w:r>
        <w:rPr/>
        <w:t>awkward</w:t>
      </w:r>
      <w:r>
        <w:rPr>
          <w:spacing w:val="-5"/>
        </w:rPr>
        <w:t> </w:t>
      </w:r>
      <w:r>
        <w:rPr/>
        <w:t>or</w:t>
      </w:r>
      <w:r>
        <w:rPr>
          <w:spacing w:val="-5"/>
        </w:rPr>
        <w:t> </w:t>
      </w:r>
      <w:r>
        <w:rPr/>
        <w:t>lacked</w:t>
      </w:r>
      <w:r>
        <w:rPr>
          <w:spacing w:val="-5"/>
        </w:rPr>
        <w:t> </w:t>
      </w:r>
      <w:r>
        <w:rPr/>
        <w:t>specificity.</w:t>
      </w:r>
      <w:r>
        <w:rPr>
          <w:spacing w:val="40"/>
        </w:rPr>
        <w:t> </w:t>
      </w:r>
      <w:r>
        <w:rPr/>
        <w:t>The instructions should be modified to fit the case, including using female pronouns where appropriate.</w:t>
      </w:r>
      <w:r>
        <w:rPr>
          <w:spacing w:val="40"/>
        </w:rPr>
        <w:t> </w:t>
      </w:r>
      <w:r>
        <w:rPr/>
        <w:t>Some courts give a preliminary instruction on this issue, for example:</w:t>
      </w:r>
    </w:p>
    <w:p>
      <w:pPr>
        <w:pStyle w:val="BodyText"/>
        <w:ind w:left="0"/>
      </w:pPr>
    </w:p>
    <w:p>
      <w:pPr>
        <w:pStyle w:val="BodyText"/>
        <w:ind w:left="821" w:right="206"/>
      </w:pPr>
      <w:r>
        <w:rPr/>
        <w:t>Any reference to he, his and him within these jury instructions should be construed by you as having equal applicability to any female participant in this trial.</w:t>
      </w:r>
      <w:r>
        <w:rPr>
          <w:spacing w:val="40"/>
        </w:rPr>
        <w:t> </w:t>
      </w:r>
      <w:r>
        <w:rPr/>
        <w:t>The use of the masculine pronouns is only for convenience in reading the instructions and not for the purpose</w:t>
      </w:r>
      <w:r>
        <w:rPr>
          <w:spacing w:val="-4"/>
        </w:rPr>
        <w:t> </w:t>
      </w:r>
      <w:r>
        <w:rPr/>
        <w:t>of</w:t>
      </w:r>
      <w:r>
        <w:rPr>
          <w:spacing w:val="-3"/>
        </w:rPr>
        <w:t> </w:t>
      </w:r>
      <w:r>
        <w:rPr/>
        <w:t>giving</w:t>
      </w:r>
      <w:r>
        <w:rPr>
          <w:spacing w:val="-3"/>
        </w:rPr>
        <w:t> </w:t>
      </w:r>
      <w:r>
        <w:rPr/>
        <w:t>emphasis</w:t>
      </w:r>
      <w:r>
        <w:rPr>
          <w:spacing w:val="-4"/>
        </w:rPr>
        <w:t> </w:t>
      </w:r>
      <w:r>
        <w:rPr/>
        <w:t>to,</w:t>
      </w:r>
      <w:r>
        <w:rPr>
          <w:spacing w:val="-3"/>
        </w:rPr>
        <w:t> </w:t>
      </w:r>
      <w:r>
        <w:rPr/>
        <w:t>or</w:t>
      </w:r>
      <w:r>
        <w:rPr>
          <w:spacing w:val="-3"/>
        </w:rPr>
        <w:t> </w:t>
      </w:r>
      <w:r>
        <w:rPr/>
        <w:t>providing</w:t>
      </w:r>
      <w:r>
        <w:rPr>
          <w:spacing w:val="-3"/>
        </w:rPr>
        <w:t> </w:t>
      </w:r>
      <w:r>
        <w:rPr/>
        <w:t>focus</w:t>
      </w:r>
      <w:r>
        <w:rPr>
          <w:spacing w:val="-4"/>
        </w:rPr>
        <w:t> </w:t>
      </w:r>
      <w:r>
        <w:rPr/>
        <w:t>upon,</w:t>
      </w:r>
      <w:r>
        <w:rPr>
          <w:spacing w:val="-3"/>
        </w:rPr>
        <w:t> </w:t>
      </w:r>
      <w:r>
        <w:rPr/>
        <w:t>any</w:t>
      </w:r>
      <w:r>
        <w:rPr>
          <w:spacing w:val="-3"/>
        </w:rPr>
        <w:t> </w:t>
      </w:r>
      <w:r>
        <w:rPr/>
        <w:t>witness</w:t>
      </w:r>
      <w:r>
        <w:rPr>
          <w:spacing w:val="-4"/>
        </w:rPr>
        <w:t> </w:t>
      </w:r>
      <w:r>
        <w:rPr/>
        <w:t>or</w:t>
      </w:r>
      <w:r>
        <w:rPr>
          <w:spacing w:val="-3"/>
        </w:rPr>
        <w:t> </w:t>
      </w:r>
      <w:r>
        <w:rPr/>
        <w:t>particular</w:t>
      </w:r>
      <w:r>
        <w:rPr>
          <w:spacing w:val="-3"/>
        </w:rPr>
        <w:t> </w:t>
      </w:r>
      <w:r>
        <w:rPr/>
        <w:t>aspect of this case.</w:t>
      </w:r>
    </w:p>
    <w:sectPr>
      <w:pgSz w:w="12240" w:h="15840"/>
      <w:pgMar w:top="136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konor">
    <w:altName w:val="Kokonor"/>
    <w:charset w:val="0"/>
    <w:family w:val="script"/>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1"/>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0"/>
      <w:ind w:left="23"/>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2024-11-13T15:01:32Z</dcterms:created>
  <dcterms:modified xsi:type="dcterms:W3CDTF">2024-11-13T15:01:32Z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2024-11-13T00:00:00Z</vt:filetime>
  </property>
</Properties>
</file>